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5F5367">
      <w:r>
        <w:rPr>
          <w:b/>
          <w:noProof/>
          <w:sz w:val="28"/>
          <w:szCs w:val="28"/>
        </w:rPr>
        <w:drawing>
          <wp:inline distT="114300" distB="114300" distL="114300" distR="114300">
            <wp:extent cx="6645275" cy="46990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6C7" w:rsidRDefault="001256C7"/>
    <w:p w:rsidR="001256C7" w:rsidRDefault="001256C7"/>
    <w:p w:rsidR="001256C7" w:rsidRDefault="001256C7"/>
    <w:p w:rsidR="001256C7" w:rsidRDefault="001256C7"/>
    <w:p w:rsidR="001256C7" w:rsidRDefault="005F5367">
      <w:pPr>
        <w:jc w:val="center"/>
        <w:rPr>
          <w:b/>
          <w:i/>
          <w:color w:val="222222"/>
          <w:sz w:val="36"/>
          <w:szCs w:val="36"/>
          <w:u w:val="single"/>
        </w:rPr>
      </w:pPr>
      <w:r>
        <w:rPr>
          <w:b/>
          <w:i/>
          <w:color w:val="222222"/>
          <w:sz w:val="36"/>
          <w:szCs w:val="36"/>
          <w:u w:val="single"/>
          <w:lang w:val="en-IN"/>
        </w:rPr>
        <w:t xml:space="preserve">CCS </w:t>
      </w:r>
      <w:r>
        <w:rPr>
          <w:b/>
          <w:i/>
          <w:color w:val="222222"/>
          <w:sz w:val="36"/>
          <w:szCs w:val="36"/>
          <w:u w:val="single"/>
        </w:rPr>
        <w:t>Internal Question Paper</w:t>
      </w:r>
      <w:r>
        <w:rPr>
          <w:b/>
          <w:i/>
          <w:color w:val="222222"/>
          <w:sz w:val="36"/>
          <w:szCs w:val="36"/>
          <w:u w:val="single"/>
          <w:lang w:val="en-IN"/>
        </w:rPr>
        <w:t xml:space="preserve"> Solution</w:t>
      </w:r>
      <w:r>
        <w:rPr>
          <w:b/>
          <w:i/>
          <w:color w:val="222222"/>
          <w:sz w:val="36"/>
          <w:szCs w:val="36"/>
          <w:u w:val="single"/>
        </w:rPr>
        <w:t xml:space="preserve"> </w:t>
      </w:r>
    </w:p>
    <w:p w:rsidR="001256C7" w:rsidRDefault="001256C7">
      <w:pPr>
        <w:rPr>
          <w:color w:val="000000"/>
        </w:rPr>
      </w:pPr>
    </w:p>
    <w:p w:rsidR="001256C7" w:rsidRDefault="001256C7">
      <w:pPr>
        <w:rPr>
          <w:color w:val="000000"/>
        </w:rPr>
      </w:pPr>
    </w:p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1256C7"/>
    <w:p w:rsidR="001256C7" w:rsidRDefault="005F5367">
      <w:pPr>
        <w:jc w:val="right"/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114300" distB="114300" distL="114300" distR="114300">
            <wp:extent cx="608965" cy="394970"/>
            <wp:effectExtent l="0" t="0" r="635" b="1143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Style28"/>
        <w:tblW w:w="10947" w:type="dxa"/>
        <w:tblInd w:w="-230" w:type="dxa"/>
        <w:tblBorders>
          <w:top w:val="single" w:sz="4" w:space="0" w:color="FBFAF7"/>
          <w:left w:val="single" w:sz="4" w:space="0" w:color="FBFAF7"/>
          <w:bottom w:val="single" w:sz="4" w:space="0" w:color="FBFAF7"/>
          <w:right w:val="single" w:sz="4" w:space="0" w:color="FBFAF7"/>
          <w:insideH w:val="single" w:sz="4" w:space="0" w:color="FBFAF7"/>
          <w:insideV w:val="single" w:sz="4" w:space="0" w:color="FBFAF7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328"/>
        <w:gridCol w:w="1079"/>
        <w:gridCol w:w="1094"/>
        <w:gridCol w:w="1350"/>
        <w:gridCol w:w="444"/>
        <w:gridCol w:w="1092"/>
        <w:gridCol w:w="1257"/>
        <w:gridCol w:w="1000"/>
        <w:gridCol w:w="1622"/>
      </w:tblGrid>
      <w:tr w:rsidR="001256C7">
        <w:trPr>
          <w:trHeight w:val="252"/>
        </w:trPr>
        <w:tc>
          <w:tcPr>
            <w:tcW w:w="59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56C7" w:rsidRDefault="001256C7">
            <w:pPr>
              <w:ind w:left="-84"/>
              <w:rPr>
                <w:rFonts w:eastAsia="Times New Roman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9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56C7" w:rsidRDefault="001256C7">
            <w:pPr>
              <w:rPr>
                <w:rFonts w:eastAsia="Times New Roman"/>
                <w:b/>
                <w:color w:val="000000"/>
                <w:sz w:val="20"/>
                <w:szCs w:val="20"/>
              </w:rPr>
            </w:pPr>
          </w:p>
        </w:tc>
      </w:tr>
      <w:tr w:rsidR="001256C7">
        <w:trPr>
          <w:trHeight w:val="252"/>
        </w:trPr>
        <w:tc>
          <w:tcPr>
            <w:tcW w:w="10947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:rsidR="001256C7" w:rsidRDefault="005F5367">
            <w:pPr>
              <w:ind w:left="-84"/>
              <w:jc w:val="center"/>
              <w:rPr>
                <w:rFonts w:eastAsia="Times New Roman"/>
                <w:color w:val="000000"/>
                <w:lang w:val="en-IN"/>
              </w:rPr>
            </w:pPr>
            <w:r>
              <w:rPr>
                <w:rFonts w:eastAsia="Times New Roman"/>
                <w:color w:val="000000"/>
              </w:rPr>
              <w:t xml:space="preserve">Internal Assessment Test </w:t>
            </w:r>
            <w:r w:rsidR="00645525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val="en-IN"/>
              </w:rPr>
              <w:t>Scheme &amp; Solution</w:t>
            </w:r>
            <w:r w:rsidR="00645525">
              <w:rPr>
                <w:rFonts w:eastAsia="Times New Roman"/>
                <w:b/>
                <w:bCs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</w:rPr>
              <w:t>–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645525">
              <w:rPr>
                <w:rFonts w:eastAsia="Times New Roman"/>
                <w:color w:val="000000"/>
              </w:rPr>
              <w:t>May</w:t>
            </w:r>
            <w:r>
              <w:rPr>
                <w:rFonts w:eastAsia="Times New Roman"/>
                <w:color w:val="00000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– </w:t>
            </w:r>
            <w:r>
              <w:rPr>
                <w:rFonts w:eastAsia="Times New Roman"/>
                <w:color w:val="000000"/>
                <w:lang w:val="en-IN"/>
              </w:rPr>
              <w:t>2026</w:t>
            </w:r>
          </w:p>
        </w:tc>
      </w:tr>
      <w:tr w:rsidR="001256C7">
        <w:trPr>
          <w:trHeight w:val="323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Sub:</w:t>
            </w:r>
          </w:p>
        </w:tc>
        <w:tc>
          <w:tcPr>
            <w:tcW w:w="529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Cloud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C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omputing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 xml:space="preserve"> and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S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ecurity</w:t>
            </w:r>
            <w:proofErr w:type="spellEnd"/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Sub Code:</w:t>
            </w:r>
          </w:p>
        </w:tc>
        <w:tc>
          <w:tcPr>
            <w:tcW w:w="12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zh-CN"/>
              </w:rPr>
              <w:t>BIS613D</w:t>
            </w:r>
          </w:p>
        </w:tc>
        <w:tc>
          <w:tcPr>
            <w:tcW w:w="10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Branch:</w:t>
            </w:r>
          </w:p>
        </w:tc>
        <w:tc>
          <w:tcPr>
            <w:tcW w:w="16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val="en-IN" w:eastAsia="zh-CN"/>
              </w:rPr>
              <w:t>ISE</w:t>
            </w:r>
          </w:p>
        </w:tc>
      </w:tr>
      <w:tr w:rsidR="001256C7">
        <w:trPr>
          <w:trHeight w:val="269"/>
        </w:trPr>
        <w:tc>
          <w:tcPr>
            <w:tcW w:w="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ind w:left="-113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Date:</w:t>
            </w:r>
          </w:p>
        </w:tc>
        <w:tc>
          <w:tcPr>
            <w:tcW w:w="13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0</w:t>
            </w:r>
            <w:r w:rsidR="00645525">
              <w:rPr>
                <w:rFonts w:eastAsia="Times New Roman"/>
                <w:color w:val="000000"/>
                <w:sz w:val="20"/>
                <w:szCs w:val="20"/>
                <w:lang w:val="en-IN"/>
              </w:rPr>
              <w:t>4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.0</w:t>
            </w:r>
            <w:r w:rsidR="00645525">
              <w:rPr>
                <w:rFonts w:eastAsia="Times New Roman"/>
                <w:color w:val="000000"/>
                <w:sz w:val="20"/>
                <w:szCs w:val="20"/>
                <w:lang w:val="en-IN"/>
              </w:rPr>
              <w:t>5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.2026</w:t>
            </w:r>
          </w:p>
        </w:tc>
        <w:tc>
          <w:tcPr>
            <w:tcW w:w="10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Duration:</w:t>
            </w:r>
          </w:p>
        </w:tc>
        <w:tc>
          <w:tcPr>
            <w:tcW w:w="10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90 Min</w:t>
            </w:r>
          </w:p>
        </w:tc>
        <w:tc>
          <w:tcPr>
            <w:tcW w:w="13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Max Marks:</w:t>
            </w:r>
          </w:p>
        </w:tc>
        <w:tc>
          <w:tcPr>
            <w:tcW w:w="4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50</w:t>
            </w:r>
          </w:p>
        </w:tc>
        <w:tc>
          <w:tcPr>
            <w:tcW w:w="10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Sem / Sec:</w:t>
            </w:r>
          </w:p>
        </w:tc>
        <w:tc>
          <w:tcPr>
            <w:tcW w:w="387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256C7" w:rsidRDefault="005F5367">
            <w:pPr>
              <w:rPr>
                <w:rFonts w:eastAsia="Times New Roman"/>
                <w:color w:val="000000"/>
                <w:sz w:val="20"/>
                <w:szCs w:val="20"/>
                <w:lang w:val="en-IN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VI</w:t>
            </w:r>
            <w:r w:rsidR="00674380">
              <w:rPr>
                <w:rFonts w:eastAsia="Times New Roman"/>
                <w:color w:val="000000"/>
                <w:sz w:val="20"/>
                <w:szCs w:val="2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/ A,</w:t>
            </w:r>
            <w:r w:rsidR="00FA2653">
              <w:rPr>
                <w:rFonts w:eastAsia="Times New Roman"/>
                <w:color w:val="000000"/>
                <w:sz w:val="20"/>
                <w:szCs w:val="20"/>
                <w:lang w:val="en-IN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B</w:t>
            </w:r>
            <w:r w:rsidR="00FA2653">
              <w:rPr>
                <w:rFonts w:eastAsia="Times New Roman"/>
                <w:color w:val="000000"/>
                <w:sz w:val="20"/>
                <w:szCs w:val="20"/>
                <w:lang w:val="en-IN"/>
              </w:rPr>
              <w:t xml:space="preserve"> &amp;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C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(SET-</w:t>
            </w:r>
            <w:r w:rsidR="00AA5DA9">
              <w:rPr>
                <w:rFonts w:eastAsia="Times New Roman"/>
                <w:color w:val="000000"/>
                <w:sz w:val="20"/>
                <w:szCs w:val="20"/>
                <w:lang w:val="en-IN"/>
              </w:rPr>
              <w:t>1</w:t>
            </w:r>
            <w:r>
              <w:rPr>
                <w:rFonts w:eastAsia="Times New Roman"/>
                <w:color w:val="000000"/>
                <w:sz w:val="20"/>
                <w:szCs w:val="20"/>
                <w:lang w:val="en-IN"/>
              </w:rPr>
              <w:t>)</w:t>
            </w:r>
          </w:p>
        </w:tc>
      </w:tr>
    </w:tbl>
    <w:p w:rsidR="001256C7" w:rsidRDefault="001256C7">
      <w:pPr>
        <w:rPr>
          <w:sz w:val="20"/>
          <w:szCs w:val="20"/>
        </w:rPr>
      </w:pPr>
    </w:p>
    <w:tbl>
      <w:tblPr>
        <w:tblStyle w:val="Style30"/>
        <w:tblpPr w:leftFromText="180" w:rightFromText="180" w:vertAnchor="text" w:tblpX="-90"/>
        <w:tblW w:w="10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7403"/>
        <w:gridCol w:w="916"/>
        <w:gridCol w:w="757"/>
        <w:gridCol w:w="807"/>
      </w:tblGrid>
      <w:tr w:rsidR="001256C7">
        <w:trPr>
          <w:trHeight w:val="297"/>
        </w:trPr>
        <w:tc>
          <w:tcPr>
            <w:tcW w:w="725" w:type="dxa"/>
            <w:vMerge w:val="restart"/>
          </w:tcPr>
          <w:p w:rsidR="001256C7" w:rsidRDefault="005F5367">
            <w:pPr>
              <w:jc w:val="center"/>
            </w:pPr>
            <w:r>
              <w:rPr>
                <w:b/>
                <w:bCs/>
              </w:rPr>
              <w:t>QN</w:t>
            </w:r>
          </w:p>
        </w:tc>
        <w:tc>
          <w:tcPr>
            <w:tcW w:w="7403" w:type="dxa"/>
            <w:vMerge w:val="restart"/>
          </w:tcPr>
          <w:p w:rsidR="001256C7" w:rsidRDefault="005F5367">
            <w:pPr>
              <w:jc w:val="center"/>
              <w:rPr>
                <w:b/>
                <w:lang w:val="en-IN"/>
              </w:rPr>
            </w:pPr>
            <w:r>
              <w:rPr>
                <w:b/>
                <w:lang w:val="en-IN"/>
              </w:rPr>
              <w:t>Questions</w:t>
            </w:r>
          </w:p>
          <w:p w:rsidR="001256C7" w:rsidRDefault="005F5367">
            <w:pPr>
              <w:jc w:val="center"/>
              <w:rPr>
                <w:b/>
                <w:lang w:val="en-IN"/>
              </w:rPr>
            </w:pPr>
            <w:r>
              <w:rPr>
                <w:bCs/>
                <w:sz w:val="22"/>
                <w:szCs w:val="22"/>
                <w:lang w:val="en-IN"/>
              </w:rPr>
              <w:t>Answer any 5 full questions</w:t>
            </w:r>
          </w:p>
        </w:tc>
        <w:tc>
          <w:tcPr>
            <w:tcW w:w="916" w:type="dxa"/>
            <w:vMerge w:val="restart"/>
          </w:tcPr>
          <w:p w:rsidR="001256C7" w:rsidRDefault="005F536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Marks</w:t>
            </w:r>
          </w:p>
        </w:tc>
        <w:tc>
          <w:tcPr>
            <w:tcW w:w="1564" w:type="dxa"/>
            <w:gridSpan w:val="2"/>
          </w:tcPr>
          <w:p w:rsidR="001256C7" w:rsidRDefault="005F536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OBE</w:t>
            </w:r>
          </w:p>
        </w:tc>
      </w:tr>
      <w:tr w:rsidR="001256C7">
        <w:trPr>
          <w:trHeight w:val="125"/>
        </w:trPr>
        <w:tc>
          <w:tcPr>
            <w:tcW w:w="725" w:type="dxa"/>
            <w:vMerge/>
          </w:tcPr>
          <w:p w:rsidR="001256C7" w:rsidRDefault="001256C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403" w:type="dxa"/>
            <w:vMerge/>
          </w:tcPr>
          <w:p w:rsidR="001256C7" w:rsidRDefault="001256C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916" w:type="dxa"/>
            <w:vMerge/>
          </w:tcPr>
          <w:p w:rsidR="001256C7" w:rsidRDefault="001256C7">
            <w:pPr>
              <w:widowControl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57" w:type="dxa"/>
          </w:tcPr>
          <w:p w:rsidR="001256C7" w:rsidRDefault="005F536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CO</w:t>
            </w:r>
          </w:p>
        </w:tc>
        <w:tc>
          <w:tcPr>
            <w:tcW w:w="807" w:type="dxa"/>
          </w:tcPr>
          <w:p w:rsidR="001256C7" w:rsidRDefault="005F536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RBT</w:t>
            </w:r>
          </w:p>
        </w:tc>
      </w:tr>
      <w:tr w:rsidR="001A1A3C">
        <w:trPr>
          <w:trHeight w:val="395"/>
        </w:trPr>
        <w:tc>
          <w:tcPr>
            <w:tcW w:w="725" w:type="dxa"/>
          </w:tcPr>
          <w:p w:rsidR="001A1A3C" w:rsidRDefault="001A1A3C" w:rsidP="001A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03" w:type="dxa"/>
          </w:tcPr>
          <w:p w:rsidR="001A1A3C" w:rsidRP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1A1A3C">
              <w:rPr>
                <w:color w:val="000000"/>
                <w:sz w:val="22"/>
                <w:szCs w:val="22"/>
                <w:lang w:val="en-US" w:eastAsia="zh-CN" w:bidi="ar"/>
              </w:rPr>
              <w:t>Explain inter-cloud resource management and its importance.</w:t>
            </w:r>
          </w:p>
          <w:p w:rsidR="001A1A3C" w:rsidRP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1A1A3C">
              <w:rPr>
                <w:color w:val="000000"/>
                <w:sz w:val="22"/>
                <w:szCs w:val="22"/>
                <w:lang w:val="en-IN" w:eastAsia="zh-CN" w:bidi="ar"/>
              </w:rPr>
              <w:t xml:space="preserve">(Explanation 5m + Figure </w:t>
            </w:r>
            <w:r w:rsidR="005B6891">
              <w:rPr>
                <w:color w:val="000000"/>
                <w:sz w:val="22"/>
                <w:szCs w:val="22"/>
                <w:lang w:val="en-IN" w:eastAsia="zh-CN" w:bidi="ar"/>
              </w:rPr>
              <w:t xml:space="preserve">and Tables </w:t>
            </w:r>
            <w:r w:rsidRPr="001A1A3C">
              <w:rPr>
                <w:color w:val="000000"/>
                <w:sz w:val="22"/>
                <w:szCs w:val="22"/>
                <w:lang w:val="en-IN" w:eastAsia="zh-CN" w:bidi="ar"/>
              </w:rPr>
              <w:t>5m)</w:t>
            </w:r>
          </w:p>
          <w:p w:rsidR="001A1A3C" w:rsidRP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1A1A3C" w:rsidRDefault="001A1A3C" w:rsidP="001A1A3C">
            <w:pPr>
              <w:jc w:val="both"/>
              <w:rPr>
                <w:sz w:val="22"/>
                <w:szCs w:val="22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2F3DA7A4" wp14:editId="6B551B69">
                  <wp:extent cx="3730752" cy="1908048"/>
                  <wp:effectExtent l="0" t="0" r="0" b="0"/>
                  <wp:docPr id="2879" name="Picture 2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9" name="Picture 28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0752" cy="1908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A3C" w:rsidRPr="001A1A3C" w:rsidRDefault="001A1A3C" w:rsidP="001A1A3C">
            <w:pPr>
              <w:jc w:val="both"/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Inter-cloud resource management refers to the techniques and strategies used to coordinate, allocate, and optimize resources across multiple cloud environments. 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This chapter explores cloud federation, multi-cloud strategies, resource orchestration, interoperability standards, Kubernetes-based container orchestration, and real-world case studies on cross-cloud deployment.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Cloud Federation and Multi-Cloud Strategies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Cloud Federation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>•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Cloud federation is a model where multiple cloud providers or data centers collaborate to share resources and workloads.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>•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Enables scalability, redundancy, and cost optimization.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>•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Common in government, research, and enterprise IT where resources are pooled for efficiency.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Multi-Cloud Strategy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A multi-cloud strategy involves using multiple cloud providers (AWS, Azure, GCP) to avoid vendor lock-in and improve availability, performance, and compliance. </w:t>
            </w:r>
          </w:p>
          <w:p w:rsid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14CC5E54" wp14:editId="7F4B7EAC">
                  <wp:extent cx="4511615" cy="1640146"/>
                  <wp:effectExtent l="0" t="0" r="381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" name="Picture 29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6597" cy="165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</w:p>
          <w:p w:rsid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</w:p>
          <w:p w:rsid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</w:p>
          <w:p w:rsid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</w:p>
          <w:p w:rsid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lastRenderedPageBreak/>
              <w:t xml:space="preserve">Benefits of Multi-Cloud Strategies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rFonts w:ascii="Segoe UI Emoji" w:hAnsi="Segoe UI Emoji" w:cs="Segoe UI Emoji"/>
                <w:sz w:val="22"/>
                <w:szCs w:val="22"/>
                <w:lang w:val="en-US" w:eastAsia="zh-CN"/>
              </w:rPr>
              <w:t>✔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Avoids vendor lock-in – Organizations are not dependent on a single provider.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rFonts w:ascii="Segoe UI Emoji" w:hAnsi="Segoe UI Emoji" w:cs="Segoe UI Emoji"/>
                <w:sz w:val="22"/>
                <w:szCs w:val="22"/>
                <w:lang w:val="en-US" w:eastAsia="zh-CN"/>
              </w:rPr>
              <w:t>✔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Improves redundancy – Ensures higher availability and failover capabilities.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rFonts w:ascii="Segoe UI Emoji" w:hAnsi="Segoe UI Emoji" w:cs="Segoe UI Emoji"/>
                <w:sz w:val="22"/>
                <w:szCs w:val="22"/>
                <w:lang w:val="en-US" w:eastAsia="zh-CN"/>
              </w:rPr>
              <w:t>✔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Optimizes costs – Leverages cost differences between cloud providers.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rFonts w:ascii="Segoe UI Emoji" w:hAnsi="Segoe UI Emoji" w:cs="Segoe UI Emoji"/>
                <w:sz w:val="22"/>
                <w:szCs w:val="22"/>
                <w:lang w:val="en-US" w:eastAsia="zh-CN"/>
              </w:rPr>
              <w:t>✔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Enhances performance – Deploy workloads in geographically closer data centers for lower latency.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Resource Allocation and Orchestration across Multiple Clouds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Challenges in Multi-Cloud Resource Management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>•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Different APIs and configurations across providers.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>•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Data transfer costs and latency when moving workloads.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>•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Security and compliance across different cloud environments.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>•</w:t>
            </w:r>
            <w:r w:rsidRPr="001A1A3C">
              <w:rPr>
                <w:sz w:val="22"/>
                <w:szCs w:val="22"/>
                <w:lang w:val="en-US" w:eastAsia="zh-CN"/>
              </w:rPr>
              <w:tab/>
              <w:t xml:space="preserve">Auto-scaling and load balancing across distributed clouds. </w:t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 w:rsidRPr="001A1A3C">
              <w:rPr>
                <w:sz w:val="22"/>
                <w:szCs w:val="22"/>
                <w:lang w:val="en-US" w:eastAsia="zh-CN"/>
              </w:rPr>
              <w:t xml:space="preserve">Techniques for Efficient Resource Allocation </w:t>
            </w:r>
          </w:p>
          <w:p w:rsid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  <w:r>
              <w:rPr>
                <w:noProof/>
              </w:rPr>
              <w:drawing>
                <wp:inline distT="0" distB="0" distL="0" distR="0" wp14:anchorId="7EF2030B" wp14:editId="256BA752">
                  <wp:extent cx="4511615" cy="1576609"/>
                  <wp:effectExtent l="0" t="0" r="3810" b="5080"/>
                  <wp:docPr id="3112" name="Picture 3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2" name="Picture 31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4380" cy="159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A3C" w:rsidRPr="001A1A3C" w:rsidRDefault="001A1A3C" w:rsidP="001A1A3C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916" w:type="dxa"/>
          </w:tcPr>
          <w:p w:rsidR="001A1A3C" w:rsidRDefault="001A1A3C" w:rsidP="001A1A3C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lastRenderedPageBreak/>
              <w:t>10</w:t>
            </w:r>
          </w:p>
        </w:tc>
        <w:tc>
          <w:tcPr>
            <w:tcW w:w="757" w:type="dxa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1A1A3C">
        <w:trPr>
          <w:trHeight w:val="327"/>
        </w:trPr>
        <w:tc>
          <w:tcPr>
            <w:tcW w:w="725" w:type="dxa"/>
          </w:tcPr>
          <w:p w:rsidR="001A1A3C" w:rsidRDefault="001A1A3C" w:rsidP="001A1A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</w:p>
        </w:tc>
        <w:tc>
          <w:tcPr>
            <w:tcW w:w="7403" w:type="dxa"/>
          </w:tcPr>
          <w:p w:rsidR="001A1A3C" w:rsidRDefault="001A1A3C" w:rsidP="00C4658D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45525">
              <w:rPr>
                <w:color w:val="000000"/>
                <w:sz w:val="22"/>
                <w:szCs w:val="22"/>
                <w:lang w:val="en-US" w:eastAsia="zh-CN" w:bidi="ar"/>
              </w:rPr>
              <w:t xml:space="preserve">The CEO of Confident Solutions Mr </w:t>
            </w:r>
            <w:proofErr w:type="spellStart"/>
            <w:r w:rsidRPr="00645525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645525">
              <w:rPr>
                <w:color w:val="000000"/>
                <w:sz w:val="22"/>
                <w:szCs w:val="22"/>
                <w:lang w:val="en-US" w:eastAsia="zh-CN" w:bidi="ar"/>
              </w:rPr>
              <w:t xml:space="preserve">, is planning to start a warehouse in his vacant land. The planned computing infrastructure requires a powerful server, high speed/bandwidth-based networking and computing/storage equipment. Instead of heavily investing in the infrastructure, </w:t>
            </w:r>
            <w:proofErr w:type="spellStart"/>
            <w:r w:rsidRPr="00645525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645525">
              <w:rPr>
                <w:color w:val="000000"/>
                <w:sz w:val="22"/>
                <w:szCs w:val="22"/>
                <w:lang w:val="en-US" w:eastAsia="zh-CN" w:bidi="ar"/>
              </w:rPr>
              <w:t xml:space="preserve"> decided to host all of them in the Cloud environment. Discuss and provide all the necessary infrastructure with suitable explanation for the design of the company's cloud solution.</w:t>
            </w:r>
          </w:p>
          <w:p w:rsidR="001A1A3C" w:rsidRDefault="001A1A3C" w:rsidP="00C4658D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>
              <w:rPr>
                <w:color w:val="000000"/>
                <w:sz w:val="22"/>
                <w:szCs w:val="22"/>
                <w:lang w:val="en-IN" w:eastAsia="zh-CN" w:bidi="ar"/>
              </w:rPr>
              <w:t xml:space="preserve"> (Explanation with</w:t>
            </w:r>
            <w:r w:rsidR="005B6891">
              <w:rPr>
                <w:color w:val="000000"/>
                <w:sz w:val="22"/>
                <w:szCs w:val="22"/>
                <w:lang w:val="en-IN" w:eastAsia="zh-CN" w:bidi="ar"/>
              </w:rPr>
              <w:t xml:space="preserve"> key requirements and benefits - 10</w:t>
            </w:r>
            <w:r>
              <w:rPr>
                <w:color w:val="000000"/>
                <w:sz w:val="22"/>
                <w:szCs w:val="22"/>
                <w:lang w:val="en-IN" w:eastAsia="zh-CN" w:bidi="ar"/>
              </w:rPr>
              <w:t>m)</w:t>
            </w:r>
          </w:p>
          <w:p w:rsidR="001A1A3C" w:rsidRDefault="001A1A3C" w:rsidP="00C4658D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 xml:space="preserve">What </w:t>
            </w:r>
            <w:proofErr w:type="spellStart"/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 xml:space="preserve"> is trying to avoid—large upfront capital cost, maintenance overhead, and limited scalability—is exactly what cloud architecture is built to solve. A well-designed cloud setup can replace physical servers, networking gear, and storage systems while remaining flexible, secure, and cost-efficient.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1A1A3C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Here’s how the cloud infrastructure for Confident Solutions can be designed: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1. Compute Infrastructure (Virtual Servers)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 xml:space="preserve">Instead of buying a powerful physical server, </w:t>
            </w:r>
            <w:proofErr w:type="spellStart"/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Sarath</w:t>
            </w:r>
            <w:proofErr w:type="spellEnd"/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 xml:space="preserve"> can use virtual machines (VMs) from cloud providers like Amazon Web Services, Microsoft Azure, or Google Cloud Platform.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Use services like EC2 (AWS) or Azure Virtual Machines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Choose high-performance instances (CPU/GPU based depending on workload)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Auto-scaling ensures more resources are added when demand increases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Benefit:</w:t>
            </w: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 xml:space="preserve"> No hardware purchase, pay only for usage, scalable instantly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2. Storage Infrastructure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Instead of local disks and storage servers: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Object Storage (e.g., Amazon S3) for warehouse data, logs, and backups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Block Storage for running applications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File Storage for shared access across systems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Benefits: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Virtually unlimited storage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lastRenderedPageBreak/>
              <w:t>High durability (data replicated across locations)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Easy backup and recovery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3. Networking Infrastructure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To replace high-speed physical networking: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Virtual Private Cloud (VPC) for isolated network environment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Subnets to separate public and private services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Load Balancers to distribute traffic efficiently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High bandwidth internet gateways for fast access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Benefits: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Secure and flexible networking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High-speed connectivity without physical setup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Traffic management improves performance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4. Database Services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Instead of maintaining database servers: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Use Managed Databases (e.g., AWS RDS, Azure SQL Database)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Supports SQL/NoSQL depending on needs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Benefits: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Automatic backups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High availability and replication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No manual maintenance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5. Security Infrastructure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Security must be built into the design: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Identity and Access Management (IAM) for user roles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Firewalls &amp; Security Groups for access control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Encryption for data at rest and in transit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Monitoring &amp; Logging tools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Benefits: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Strong access control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Compliance with security standards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Reduced risk of data breaches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6. Scalability &amp; Elasticity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Cloud allows dynamic scaling: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Auto-scaling groups increase/decrease servers based on load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Useful for seasonal warehouse demand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No over-provisioning or under-utilization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7. Backup &amp; Disaster Recovery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Automated backups and snapshots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Multi-region replication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Disaster recovery strategies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Business continuity even during failures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8. Cost Optimization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Pay-as-you-go model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Reserved instances for long-term savings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Monitoring tools to track usage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No upfront capital expenditure (CAPEX 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→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 OPEX)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9. Monitoring and Management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Tools like CloudWatch / Azure Monitor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lastRenderedPageBreak/>
              <w:t>Track system health, usage, and performance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Benefit: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Proactive issue detection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Improved reliability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b/>
                <w:color w:val="000000"/>
                <w:sz w:val="22"/>
                <w:szCs w:val="22"/>
                <w:lang w:val="en-US" w:eastAsia="zh-CN" w:bidi="ar"/>
              </w:rPr>
              <w:t>10. Architecture Overview (Design Summary)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A typical cloud design for Confident Solutions would look like: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Users 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→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 Internet 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→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 Load Balancer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Load Balancer 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→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 Auto-scaled Virtual Machines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VMs 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>→</w:t>
            </w:r>
            <w:r w:rsidRPr="00C4658D">
              <w:rPr>
                <w:rFonts w:hint="eastAsia"/>
                <w:color w:val="000000"/>
                <w:sz w:val="22"/>
                <w:szCs w:val="22"/>
                <w:lang w:val="en-US" w:eastAsia="zh-CN" w:bidi="ar"/>
              </w:rPr>
              <w:t xml:space="preserve"> Managed Database + Cloud Storage</w:t>
            </w:r>
          </w:p>
          <w:p w:rsidR="00C4658D" w:rsidRP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Entire system inside a secure VPC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C4658D">
              <w:rPr>
                <w:color w:val="000000"/>
                <w:sz w:val="22"/>
                <w:szCs w:val="22"/>
                <w:lang w:val="en-US" w:eastAsia="zh-CN" w:bidi="ar"/>
              </w:rPr>
              <w:t>Monitoring + Backup running in the background</w:t>
            </w:r>
          </w:p>
          <w:p w:rsidR="00C4658D" w:rsidRDefault="00C4658D" w:rsidP="00C4658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6" w:type="dxa"/>
            <w:shd w:val="clear" w:color="auto" w:fill="auto"/>
          </w:tcPr>
          <w:p w:rsidR="001A1A3C" w:rsidRDefault="001A1A3C" w:rsidP="001A1A3C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lastRenderedPageBreak/>
              <w:t>10</w:t>
            </w:r>
          </w:p>
        </w:tc>
        <w:tc>
          <w:tcPr>
            <w:tcW w:w="75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CO3</w:t>
            </w:r>
          </w:p>
        </w:tc>
        <w:tc>
          <w:tcPr>
            <w:tcW w:w="80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  <w:tr w:rsidR="001A1A3C">
        <w:trPr>
          <w:trHeight w:val="443"/>
        </w:trPr>
        <w:tc>
          <w:tcPr>
            <w:tcW w:w="725" w:type="dxa"/>
          </w:tcPr>
          <w:p w:rsidR="001A1A3C" w:rsidRDefault="001A1A3C" w:rsidP="001A1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7403" w:type="dxa"/>
          </w:tcPr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AA5DA9">
              <w:rPr>
                <w:color w:val="000000"/>
                <w:sz w:val="22"/>
                <w:szCs w:val="22"/>
                <w:lang w:val="en-US" w:eastAsia="zh-CN" w:bidi="ar"/>
              </w:rPr>
              <w:t>Describe the concept of cloud data encryption &amp; its role in securing cloud storage.</w:t>
            </w:r>
          </w:p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  <w:lang w:val="en-IN" w:eastAsia="zh-CN" w:bidi="ar"/>
              </w:rPr>
              <w:t>(Explanation 6m + Figure 4m)</w:t>
            </w:r>
          </w:p>
          <w:p w:rsidR="001A1A3C" w:rsidRDefault="001A1A3C" w:rsidP="001A1A3C">
            <w:pPr>
              <w:jc w:val="center"/>
            </w:pPr>
          </w:p>
          <w:p w:rsidR="001A1A3C" w:rsidRDefault="00B1314B" w:rsidP="00B1314B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The government, large corporations, and individual users ponder if it safe to store sensitive information on a public cloud. Encryption is the obvious solution to protect outsourced data and cloud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service providers have been compelled to offer encryption services. For example, Amazon offers AWS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Key Management Service (KMS) to create and control the encryption keys used by clients to encrypt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their data. KMS is integrated with other AWS services including EBS, S3, RDS, Redshift, Elastic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 xml:space="preserve">Transcoder, and </w:t>
            </w:r>
            <w:proofErr w:type="spellStart"/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WorkMail</w:t>
            </w:r>
            <w:proofErr w:type="spellEnd"/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. AWS also offers Encryption SDK for developers.</w:t>
            </w:r>
          </w:p>
          <w:p w:rsidR="00B1314B" w:rsidRDefault="00B1314B" w:rsidP="00B1314B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B1314B" w:rsidRDefault="00B1314B" w:rsidP="00B1314B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Homomorphic encryption. Sensitive data is safe while in storage, provided that it is encrypted with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strong encryption. But encrypted data must be decrypted for processing and this opens a window of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 xml:space="preserve">vulnerability. </w:t>
            </w:r>
            <w:proofErr w:type="gramStart"/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So</w:t>
            </w:r>
            <w:proofErr w:type="gramEnd"/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 xml:space="preserve"> a first question examined in this section is if it is feasible to operate on encrypted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 xml:space="preserve">data. The homomorphic encryption, a </w:t>
            </w:r>
            <w:proofErr w:type="spellStart"/>
            <w:proofErr w:type="gramStart"/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long time</w:t>
            </w:r>
            <w:proofErr w:type="spellEnd"/>
            <w:proofErr w:type="gramEnd"/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 xml:space="preserve"> dream of security experts, reflects the concept of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homomorphism, a structure-preserving map f (·) between two algebraic structures of the same type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B1314B">
              <w:rPr>
                <w:color w:val="000000"/>
                <w:sz w:val="22"/>
                <w:szCs w:val="22"/>
                <w:lang w:val="en-US" w:eastAsia="zh-CN" w:bidi="ar"/>
              </w:rPr>
              <w:t>see Figure 11.2</w:t>
            </w:r>
          </w:p>
          <w:p w:rsidR="00B1314B" w:rsidRDefault="00B1314B" w:rsidP="00B1314B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B1314B" w:rsidRDefault="00B1314B" w:rsidP="00B1314B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B1314B">
              <w:rPr>
                <w:noProof/>
                <w:color w:val="000000"/>
                <w:sz w:val="22"/>
                <w:szCs w:val="22"/>
                <w:lang w:val="en-US" w:eastAsia="zh-CN" w:bidi="ar"/>
              </w:rPr>
              <w:drawing>
                <wp:inline distT="0" distB="0" distL="0" distR="0" wp14:anchorId="47061F89" wp14:editId="77CFFA4B">
                  <wp:extent cx="4554855" cy="1955165"/>
                  <wp:effectExtent l="0" t="0" r="0" b="698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55" cy="195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D9D" w:rsidRDefault="00606D9D" w:rsidP="00B1314B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606D9D" w:rsidRPr="00606D9D" w:rsidRDefault="00606D9D" w:rsidP="00606D9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Searching encrypted databases is of particular interest. Several types of searches are frequently conducted including: single-keyword, multi-keyword, fuzzy-keyword, ranked, authorized, and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verifiable search. Searchable symmetric encryption (SSE) is used when an encrypted databases E is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outsourced to a cloud or to a different organization. SSE hides information about the database and the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queries.</w:t>
            </w:r>
          </w:p>
          <w:p w:rsidR="00606D9D" w:rsidRPr="00606D9D" w:rsidRDefault="00606D9D" w:rsidP="00606D9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The client only stores the cryptographic key. To search the database the client encrypts the query,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sends it to the database server, receives the encrypted result of the query and decrypts it using the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cryptographic key. The information leakage from these searches is confined to query patterns, while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disclosure of explicit data and query plaintext values is prevented.</w:t>
            </w:r>
          </w:p>
          <w:p w:rsidR="00606D9D" w:rsidRPr="00606D9D" w:rsidRDefault="00606D9D" w:rsidP="00606D9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lastRenderedPageBreak/>
              <w:t>An SSE protocol supporting conjunctive search and general Boolean queries on symmetrically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encrypted data was proposed in [86]. This SSE protocol scales to very large databases. It can be used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 xml:space="preserve">for arbitrarily structured data including free text search with the moderate and </w:t>
            </w:r>
            <w:proofErr w:type="gramStart"/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well defined</w:t>
            </w:r>
            <w:proofErr w:type="gramEnd"/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 xml:space="preserve"> leakage to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the outsourced server. Performance results of a prototype applied to encrypted search over the entire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English Wikipedia are reported. The protocol was extended with support for range, substring, wildcard,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and phrase queries.</w:t>
            </w:r>
          </w:p>
          <w:p w:rsidR="00606D9D" w:rsidRDefault="00606D9D" w:rsidP="00606D9D">
            <w:pPr>
              <w:tabs>
                <w:tab w:val="left" w:pos="420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The next question is if sensitive data stored on the servers of a private cloud is vulnerable. The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threat posed by an outsider attacker is diminished if the private cloud is protected by an effective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firewall. Nevertheless, there are dangers posed by an insider. If such an attacker has access to log files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it can infer the location of database hot spots, copy data selectively, and use the data for a nefarious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activity. To minimize the risks posed by an insider, a set of protections rings should be enforced to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restrict the access of each member of the staff to a limited area of the data base.</w:t>
            </w:r>
          </w:p>
        </w:tc>
        <w:tc>
          <w:tcPr>
            <w:tcW w:w="916" w:type="dxa"/>
            <w:shd w:val="clear" w:color="auto" w:fill="auto"/>
          </w:tcPr>
          <w:p w:rsidR="001A1A3C" w:rsidRDefault="001A1A3C" w:rsidP="001A1A3C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lastRenderedPageBreak/>
              <w:t>10</w:t>
            </w:r>
          </w:p>
        </w:tc>
        <w:tc>
          <w:tcPr>
            <w:tcW w:w="75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1A1A3C">
        <w:trPr>
          <w:trHeight w:val="362"/>
        </w:trPr>
        <w:tc>
          <w:tcPr>
            <w:tcW w:w="725" w:type="dxa"/>
          </w:tcPr>
          <w:p w:rsidR="001A1A3C" w:rsidRDefault="001A1A3C" w:rsidP="001A1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03" w:type="dxa"/>
          </w:tcPr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AA5DA9">
              <w:rPr>
                <w:color w:val="000000"/>
                <w:sz w:val="22"/>
                <w:szCs w:val="22"/>
                <w:lang w:val="en-US" w:eastAsia="zh-CN" w:bidi="ar"/>
              </w:rPr>
              <w:t>Explain different cloud security defense strategies.</w:t>
            </w:r>
          </w:p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  <w:lang w:val="en-IN" w:eastAsia="zh-CN" w:bidi="ar"/>
              </w:rPr>
              <w:t xml:space="preserve"> (Explanation 6m + Figure 4m)</w:t>
            </w:r>
          </w:p>
          <w:p w:rsidR="001A1A3C" w:rsidRDefault="001A1A3C" w:rsidP="001A1A3C">
            <w:pPr>
              <w:jc w:val="center"/>
            </w:pPr>
          </w:p>
          <w:p w:rsidR="001A1A3C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A healthy cloud ecosystem is desired to free users from abuses, violence, cheating, hacking, viruses,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rumors, pornography, spam, and privacy and copyright violations. The security demands of three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cloud service models, IaaS, PaaS, and SaaS, are described in this section. These security models are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based on various SLAs between providers and users.</w:t>
            </w:r>
          </w:p>
          <w:p w:rsidR="00606D9D" w:rsidRPr="00606D9D" w:rsidRDefault="00606D9D" w:rsidP="00606D9D">
            <w:pPr>
              <w:tabs>
                <w:tab w:val="left" w:pos="425"/>
              </w:tabs>
              <w:jc w:val="both"/>
              <w:rPr>
                <w:b/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b/>
                <w:color w:val="000000"/>
                <w:sz w:val="22"/>
                <w:szCs w:val="22"/>
                <w:lang w:val="en-US" w:eastAsia="zh-CN" w:bidi="ar"/>
              </w:rPr>
              <w:t>Basic Cloud Security</w:t>
            </w:r>
          </w:p>
          <w:p w:rsidR="00606D9D" w:rsidRP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Three basic cloud security enforcements are expected. First, facility security in data centers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 xml:space="preserve">demands on-site security </w:t>
            </w:r>
            <w:proofErr w:type="gramStart"/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year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round</w:t>
            </w:r>
            <w:proofErr w:type="gramEnd"/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. Biometric readers, CCTV (close-circuit TV), motion detection,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and man traps are often deployed. Also, network security demands fault-tolerant external firewalls,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intrusion detection systems (</w:t>
            </w:r>
            <w:proofErr w:type="spellStart"/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IDSes</w:t>
            </w:r>
            <w:proofErr w:type="spellEnd"/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), and third-party vulnerability assessment. Finally, platform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security demands SSL and data decryption, strict password policies, and system trust certification.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Figure 4.31 shows the mapping of cloud models, where special security measures are deployed at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various cloud operating levels.</w:t>
            </w:r>
          </w:p>
          <w:p w:rsid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Servers in the cloud can be physical machines or VMs. User interfaces are applied to request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services. The provisioning tool carves out the systems from the cloud to satisfy the requested service. A security-aware cloud architecture demands security enforcement. Malware-based attacks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such as network worms, viruses, and DDoS attacks exploit system vulnerabilities. These attacks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compromise system functionality or provide intruders unauthorized access to critical information.</w:t>
            </w:r>
          </w:p>
          <w:p w:rsid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noProof/>
                <w:color w:val="000000"/>
                <w:sz w:val="22"/>
                <w:szCs w:val="22"/>
                <w:lang w:val="en-US" w:eastAsia="zh-CN" w:bidi="ar"/>
              </w:rPr>
              <w:lastRenderedPageBreak/>
              <w:drawing>
                <wp:inline distT="0" distB="0" distL="0" distR="0" wp14:anchorId="5E63BBD5" wp14:editId="3329D304">
                  <wp:extent cx="4554855" cy="4335145"/>
                  <wp:effectExtent l="0" t="0" r="0" b="825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55" cy="4335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606D9D" w:rsidRP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Thus, security defenses are needed to protect all cluster servers and data centers. Here are some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cloud components that demand special security protection:</w:t>
            </w:r>
          </w:p>
          <w:p w:rsidR="00606D9D" w:rsidRP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• Protection of servers from malicious software attacks such as worms, viruses, and malware</w:t>
            </w:r>
          </w:p>
          <w:p w:rsidR="00606D9D" w:rsidRP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• Protection of hypervisors or VM monitors from software-based attacks and vulnerabilities</w:t>
            </w:r>
          </w:p>
          <w:p w:rsid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• Protection of VMs and monitors from service disruption and DoS attacks</w:t>
            </w:r>
          </w:p>
          <w:p w:rsidR="00606D9D" w:rsidRP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• Protection of data and information from theft, corruption, and natural disasters</w:t>
            </w:r>
          </w:p>
          <w:p w:rsid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606D9D">
              <w:rPr>
                <w:color w:val="000000"/>
                <w:sz w:val="22"/>
                <w:szCs w:val="22"/>
                <w:lang w:val="en-US" w:eastAsia="zh-CN" w:bidi="ar"/>
              </w:rPr>
              <w:t>• Providing authenticated and authorized access to critical data and services</w:t>
            </w:r>
          </w:p>
          <w:p w:rsidR="00606D9D" w:rsidRDefault="00606D9D" w:rsidP="00606D9D">
            <w:pPr>
              <w:tabs>
                <w:tab w:val="left" w:pos="425"/>
              </w:tabs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6" w:type="dxa"/>
            <w:shd w:val="clear" w:color="auto" w:fill="auto"/>
          </w:tcPr>
          <w:p w:rsidR="001A1A3C" w:rsidRDefault="001A1A3C" w:rsidP="001A1A3C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lastRenderedPageBreak/>
              <w:t>10</w:t>
            </w:r>
          </w:p>
        </w:tc>
        <w:tc>
          <w:tcPr>
            <w:tcW w:w="75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CO4</w:t>
            </w:r>
          </w:p>
        </w:tc>
        <w:tc>
          <w:tcPr>
            <w:tcW w:w="80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1A1A3C">
        <w:trPr>
          <w:trHeight w:val="373"/>
        </w:trPr>
        <w:tc>
          <w:tcPr>
            <w:tcW w:w="725" w:type="dxa"/>
          </w:tcPr>
          <w:p w:rsidR="001A1A3C" w:rsidRDefault="001A1A3C" w:rsidP="001A1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03" w:type="dxa"/>
          </w:tcPr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AA5DA9">
              <w:rPr>
                <w:color w:val="000000"/>
                <w:sz w:val="22"/>
                <w:szCs w:val="22"/>
                <w:lang w:val="en-US" w:eastAsia="zh-CN" w:bidi="ar"/>
              </w:rPr>
              <w:t>How does Google App Engine (GAE) support cloud programming? Briefly Explain.</w:t>
            </w:r>
          </w:p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  <w:lang w:val="en-IN" w:eastAsia="zh-CN" w:bidi="ar"/>
              </w:rPr>
              <w:t xml:space="preserve"> (Explanation 6m + Figure 4m)</w:t>
            </w:r>
          </w:p>
          <w:p w:rsidR="001A1A3C" w:rsidRDefault="001A1A3C" w:rsidP="001A1A3C">
            <w:pPr>
              <w:tabs>
                <w:tab w:val="left" w:pos="420"/>
              </w:tabs>
              <w:rPr>
                <w:lang w:val="en-US" w:eastAsia="zh-CN"/>
              </w:rPr>
            </w:pPr>
          </w:p>
          <w:p w:rsidR="001A1A3C" w:rsidRDefault="003A5417" w:rsidP="003A5417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Google App Engine (GAE) is a Platform as a Service (PaaS) for building and hosting web applications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. </w:t>
            </w: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Automatically handles scaling, load balancing, and infrastructure management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. </w:t>
            </w: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Supports apps written in multiple languages like Java, Python, Go and PHP</w:t>
            </w:r>
            <w:r>
              <w:rPr>
                <w:color w:val="000000"/>
                <w:sz w:val="22"/>
                <w:szCs w:val="22"/>
                <w:lang w:val="en-US" w:eastAsia="zh-CN" w:bidi="ar"/>
              </w:rPr>
              <w:t xml:space="preserve">. </w:t>
            </w:r>
          </w:p>
          <w:p w:rsid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3A5417">
              <w:rPr>
                <w:noProof/>
                <w:color w:val="000000"/>
                <w:sz w:val="22"/>
                <w:szCs w:val="22"/>
                <w:lang w:eastAsia="zh-CN" w:bidi="ar"/>
              </w:rPr>
              <w:lastRenderedPageBreak/>
              <w:drawing>
                <wp:inline distT="0" distB="0" distL="0" distR="0" wp14:anchorId="32F64D24" wp14:editId="7165B961">
                  <wp:extent cx="4554855" cy="2077720"/>
                  <wp:effectExtent l="0" t="0" r="0" b="0"/>
                  <wp:docPr id="6" name="Content Placeholder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ontent Placeholder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l="-842" b="11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55" cy="207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Central Component: Python or Java Application</w:t>
            </w:r>
          </w:p>
          <w:p w:rsidR="0093220B" w:rsidRPr="003A5417" w:rsidRDefault="000D1E72" w:rsidP="003A5417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At the core of GAE, application is written in Python or Java.</w:t>
            </w:r>
          </w:p>
          <w:p w:rsidR="0093220B" w:rsidRPr="003A5417" w:rsidRDefault="000D1E72" w:rsidP="003A5417">
            <w:pPr>
              <w:numPr>
                <w:ilvl w:val="0"/>
                <w:numId w:val="7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This central block communicates with various GAE services, such as storage, APIs, and communication modules.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Datastore, </w:t>
            </w:r>
            <w:proofErr w:type="spellStart"/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Memcache</w:t>
            </w:r>
            <w:proofErr w:type="spellEnd"/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, and </w:t>
            </w:r>
            <w:proofErr w:type="spellStart"/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Blobstore</w:t>
            </w:r>
            <w:proofErr w:type="spellEnd"/>
          </w:p>
          <w:p w:rsidR="0093220B" w:rsidRPr="003A5417" w:rsidRDefault="000D1E72" w:rsidP="003A541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Datastore</w:t>
            </w: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: A NoSQL database where entities and properties are stored (schema-less).</w:t>
            </w:r>
          </w:p>
          <w:p w:rsidR="0093220B" w:rsidRPr="003A5417" w:rsidRDefault="000D1E72" w:rsidP="003A541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proofErr w:type="spellStart"/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Memcache</w:t>
            </w:r>
            <w:proofErr w:type="spellEnd"/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: An in-memory cache to speed up data retrieval and reduce datastore queries.</w:t>
            </w:r>
          </w:p>
          <w:p w:rsidR="0093220B" w:rsidRPr="003A5417" w:rsidRDefault="000D1E72" w:rsidP="003A5417">
            <w:pPr>
              <w:numPr>
                <w:ilvl w:val="0"/>
                <w:numId w:val="8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proofErr w:type="spellStart"/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Blobstore</w:t>
            </w:r>
            <w:proofErr w:type="spellEnd"/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: Used to store large files (images, videos, docs) up to 2 GB.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Google Data API &amp; Corporate Apps</w:t>
            </w:r>
          </w:p>
          <w:p w:rsidR="0093220B" w:rsidRPr="003A5417" w:rsidRDefault="000D1E72" w:rsidP="003A5417">
            <w:pPr>
              <w:numPr>
                <w:ilvl w:val="0"/>
                <w:numId w:val="9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Google Data API: Enables your app to access other Google services (Docs, Maps, Calendar).</w:t>
            </w:r>
          </w:p>
          <w:p w:rsidR="0093220B" w:rsidRPr="003A5417" w:rsidRDefault="000D1E72" w:rsidP="003A5417">
            <w:pPr>
              <w:numPr>
                <w:ilvl w:val="0"/>
                <w:numId w:val="9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Corporate Apps: These services (e.g., Google Docs, Sites, Maps) can be programmatically accessed via APIs.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URL Fetch and Internal Services 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These services are called directly from the app:</w:t>
            </w:r>
          </w:p>
          <w:p w:rsidR="0093220B" w:rsidRPr="003A5417" w:rsidRDefault="000D1E72" w:rsidP="003A5417">
            <w:pPr>
              <w:numPr>
                <w:ilvl w:val="0"/>
                <w:numId w:val="10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URL Fetch: Makes HTTP/HTTPS calls to external services.</w:t>
            </w:r>
          </w:p>
          <w:p w:rsidR="0093220B" w:rsidRPr="003A5417" w:rsidRDefault="000D1E72" w:rsidP="003A5417">
            <w:pPr>
              <w:numPr>
                <w:ilvl w:val="0"/>
                <w:numId w:val="10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Users: Manages authentication via Google Accounts.</w:t>
            </w:r>
          </w:p>
          <w:p w:rsidR="0093220B" w:rsidRPr="003A5417" w:rsidRDefault="000D1E72" w:rsidP="003A5417">
            <w:pPr>
              <w:numPr>
                <w:ilvl w:val="0"/>
                <w:numId w:val="10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Mail: Sends emails via Google's mail infrastructure.</w:t>
            </w:r>
          </w:p>
          <w:p w:rsidR="0093220B" w:rsidRPr="003A5417" w:rsidRDefault="000D1E72" w:rsidP="003A5417">
            <w:pPr>
              <w:numPr>
                <w:ilvl w:val="0"/>
                <w:numId w:val="10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Cron: Schedules recurring tasks (daily reports, DB cleanup).</w:t>
            </w:r>
          </w:p>
          <w:p w:rsidR="0093220B" w:rsidRPr="003A5417" w:rsidRDefault="000D1E72" w:rsidP="003A5417">
            <w:pPr>
              <w:numPr>
                <w:ilvl w:val="0"/>
                <w:numId w:val="10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Images: Provides image transformations (resize, crop, etc.).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Admin Console</w:t>
            </w:r>
          </w:p>
          <w:p w:rsidR="0093220B" w:rsidRPr="003A5417" w:rsidRDefault="000D1E72" w:rsidP="003A5417">
            <w:pPr>
              <w:numPr>
                <w:ilvl w:val="0"/>
                <w:numId w:val="11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Allows developers to monitor, configure, and deploy applications.</w:t>
            </w:r>
          </w:p>
          <w:p w:rsidR="0093220B" w:rsidRPr="003A5417" w:rsidRDefault="000D1E72" w:rsidP="003A5417">
            <w:pPr>
              <w:numPr>
                <w:ilvl w:val="0"/>
                <w:numId w:val="11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Provides logs, error tracking, and service configurations.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External Communication</w:t>
            </w: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 xml:space="preserve"> 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Secure Intranet Access:</w:t>
            </w:r>
          </w:p>
          <w:p w:rsidR="0093220B" w:rsidRPr="003A5417" w:rsidRDefault="000D1E72" w:rsidP="003A5417">
            <w:pPr>
              <w:numPr>
                <w:ilvl w:val="0"/>
                <w:numId w:val="12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Your app can access your private intranet systems securely using:</w:t>
            </w:r>
          </w:p>
          <w:p w:rsidR="0093220B" w:rsidRPr="003A5417" w:rsidRDefault="000D1E72" w:rsidP="003A5417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Tunnel Servers (through Internet</w:t>
            </w:r>
            <w:proofErr w:type="gramStart"/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),Your</w:t>
            </w:r>
            <w:proofErr w:type="gramEnd"/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 xml:space="preserve"> firewall, and</w:t>
            </w:r>
          </w:p>
          <w:p w:rsidR="0093220B" w:rsidRPr="003A5417" w:rsidRDefault="000D1E72" w:rsidP="003A5417">
            <w:pPr>
              <w:numPr>
                <w:ilvl w:val="0"/>
                <w:numId w:val="13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Secure Data Connector (SDC).</w:t>
            </w:r>
          </w:p>
          <w:p w:rsidR="003A5417" w:rsidRP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Internet </w:t>
            </w:r>
          </w:p>
          <w:p w:rsidR="0093220B" w:rsidRPr="003A5417" w:rsidRDefault="000D1E72" w:rsidP="003A5417">
            <w:pPr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Represents how external connectivity (e.g., calling public APIs, webhooks, or intranet via tunnels) happens.</w:t>
            </w:r>
          </w:p>
          <w:p w:rsidR="0093220B" w:rsidRPr="003A5417" w:rsidRDefault="000D1E72" w:rsidP="003A5417">
            <w:pPr>
              <w:numPr>
                <w:ilvl w:val="0"/>
                <w:numId w:val="14"/>
              </w:numPr>
              <w:jc w:val="both"/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URL Fetch, tunnel servers, and data connectors use this path.</w:t>
            </w:r>
          </w:p>
          <w:p w:rsidR="003A5417" w:rsidRDefault="003A5417" w:rsidP="003A5417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6" w:type="dxa"/>
            <w:shd w:val="clear" w:color="auto" w:fill="auto"/>
          </w:tcPr>
          <w:p w:rsidR="001A1A3C" w:rsidRDefault="001A1A3C" w:rsidP="001A1A3C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lastRenderedPageBreak/>
              <w:t>10</w:t>
            </w:r>
          </w:p>
        </w:tc>
        <w:tc>
          <w:tcPr>
            <w:tcW w:w="75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80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L2</w:t>
            </w:r>
          </w:p>
        </w:tc>
      </w:tr>
      <w:tr w:rsidR="001A1A3C">
        <w:trPr>
          <w:trHeight w:val="383"/>
        </w:trPr>
        <w:tc>
          <w:tcPr>
            <w:tcW w:w="725" w:type="dxa"/>
          </w:tcPr>
          <w:p w:rsidR="001A1A3C" w:rsidRDefault="001A1A3C" w:rsidP="001A1A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7403" w:type="dxa"/>
          </w:tcPr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AA5DA9">
              <w:rPr>
                <w:color w:val="000000"/>
                <w:sz w:val="22"/>
                <w:szCs w:val="22"/>
                <w:lang w:val="en-US" w:eastAsia="zh-CN" w:bidi="ar"/>
              </w:rPr>
              <w:t>Discuss the programming environment of Amazon AWS and its applications.</w:t>
            </w:r>
          </w:p>
          <w:p w:rsidR="001A1A3C" w:rsidRDefault="001A1A3C" w:rsidP="001A1A3C">
            <w:pPr>
              <w:jc w:val="both"/>
              <w:rPr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color w:val="000000"/>
                <w:sz w:val="22"/>
                <w:szCs w:val="22"/>
                <w:lang w:val="en-IN" w:eastAsia="zh-CN" w:bidi="ar"/>
              </w:rPr>
              <w:t xml:space="preserve"> (Explanation 6m + Figure 4m)</w:t>
            </w:r>
          </w:p>
          <w:p w:rsidR="001A1A3C" w:rsidRDefault="001A1A3C" w:rsidP="001A1A3C">
            <w:pPr>
              <w:jc w:val="center"/>
            </w:pP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Amazon (like Azure) offers a Relational Database Service (RDS) with a messaging interface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Elastic MapReduce capability is equivalent to Hadoop running on the basic EC2 offering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 xml:space="preserve">Amazon has NOSQL support in </w:t>
            </w:r>
            <w:proofErr w:type="spellStart"/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SimpleDB</w:t>
            </w:r>
            <w:proofErr w:type="spellEnd"/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 xml:space="preserve">Amazon does not directly support </w:t>
            </w:r>
            <w:proofErr w:type="spellStart"/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BigTable</w:t>
            </w:r>
            <w:proofErr w:type="spellEnd"/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IN" w:eastAsia="zh-CN" w:bidi="ar"/>
              </w:rPr>
              <w:lastRenderedPageBreak/>
              <w:t>Amazon offers the Simple Queue Service (SQS) and Simple Notification Service (SNS)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Auto-scaling enables you to automatically scale your Amazon EC2</w:t>
            </w:r>
            <w:bookmarkStart w:id="0" w:name="_GoBack"/>
            <w:bookmarkEnd w:id="0"/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 xml:space="preserve"> capacity up or down according to conditions that you define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Elastic load balancing automatically distributes incoming application traffic across multiple Amazon EC2 instances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Both auto-scaling and elastic load balancing are enabled by CloudWatch which monitors running instances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CloudWatch is a web service that provides customers with visibility into resource utilization, operational performance, and overall demand patterns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Amazon was the first company to introduce VMs in application hosting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The elastic feature of such a service is that a customer can create, launch, and terminate server instances as needed, paying by the hour for active servers.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Amazon provides several types of preinstalled VMs. Instances are often called Amazon Machine Images (AMIs) which are preconfigured with operating systems based on Linux or Windows, and additional software.</w:t>
            </w:r>
          </w:p>
          <w:p w:rsidR="0093220B" w:rsidRPr="003A5417" w:rsidRDefault="000D1E72" w:rsidP="003A5417">
            <w:pPr>
              <w:numPr>
                <w:ilvl w:val="0"/>
                <w:numId w:val="15"/>
              </w:numPr>
              <w:rPr>
                <w:color w:val="000000"/>
                <w:sz w:val="22"/>
                <w:szCs w:val="22"/>
                <w:lang w:val="en-IN" w:eastAsia="zh-CN" w:bidi="ar"/>
              </w:rPr>
            </w:pPr>
            <w:r w:rsidRPr="003A5417">
              <w:rPr>
                <w:color w:val="000000"/>
                <w:sz w:val="22"/>
                <w:szCs w:val="22"/>
                <w:lang w:val="en-US" w:eastAsia="zh-CN" w:bidi="ar"/>
              </w:rPr>
              <w:t>AMIs are the templates for instances, which are running VMs</w:t>
            </w:r>
          </w:p>
          <w:p w:rsidR="003A5417" w:rsidRDefault="003A5417" w:rsidP="003A5417">
            <w:pPr>
              <w:jc w:val="center"/>
              <w:rPr>
                <w:color w:val="000000"/>
                <w:sz w:val="22"/>
                <w:szCs w:val="22"/>
                <w:lang w:eastAsia="zh-CN" w:bidi="ar"/>
              </w:rPr>
            </w:pPr>
            <w:r w:rsidRPr="003A5417">
              <w:rPr>
                <w:noProof/>
                <w:color w:val="000000"/>
                <w:sz w:val="22"/>
                <w:szCs w:val="22"/>
                <w:lang w:eastAsia="zh-CN" w:bidi="ar"/>
              </w:rPr>
              <w:drawing>
                <wp:inline distT="0" distB="0" distL="0" distR="0" wp14:anchorId="0D3BF533" wp14:editId="503A4E23">
                  <wp:extent cx="4063042" cy="177294"/>
                  <wp:effectExtent l="0" t="0" r="0" b="0"/>
                  <wp:docPr id="8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C304DE-ACC4-45FB-ABC6-27FA3B4D65F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87C304DE-ACC4-45FB-ABC6-27FA3B4D65F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613" cy="193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A1A3C" w:rsidRDefault="001A1A3C" w:rsidP="001A1A3C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3A5417" w:rsidRDefault="003A5417" w:rsidP="001A1A3C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3A5417">
              <w:rPr>
                <w:noProof/>
                <w:color w:val="000000"/>
                <w:sz w:val="22"/>
                <w:szCs w:val="22"/>
                <w:lang w:eastAsia="zh-CN" w:bidi="ar"/>
              </w:rPr>
              <w:drawing>
                <wp:inline distT="0" distB="0" distL="0" distR="0" wp14:anchorId="114C6303" wp14:editId="3C9AB2F3">
                  <wp:extent cx="4554855" cy="1300480"/>
                  <wp:effectExtent l="0" t="0" r="0" b="0"/>
                  <wp:docPr id="9" name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04EE9F-3CE5-4989-8C33-5544EDFBFF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>
                            <a:extLst>
                              <a:ext uri="{FF2B5EF4-FFF2-40B4-BE49-F238E27FC236}">
                                <a16:creationId xmlns:a16="http://schemas.microsoft.com/office/drawing/2014/main" id="{2D04EE9F-3CE5-4989-8C33-5544EDFBFFF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55" cy="1300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417" w:rsidRDefault="003A5417" w:rsidP="001A1A3C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3A5417" w:rsidRDefault="003A5417" w:rsidP="001A1A3C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  <w:r w:rsidRPr="003A5417">
              <w:rPr>
                <w:noProof/>
                <w:color w:val="000000"/>
                <w:sz w:val="22"/>
                <w:szCs w:val="22"/>
                <w:lang w:eastAsia="zh-CN" w:bidi="ar"/>
              </w:rPr>
              <w:drawing>
                <wp:inline distT="0" distB="0" distL="0" distR="0" wp14:anchorId="3890AB1B" wp14:editId="0B193EF4">
                  <wp:extent cx="4554855" cy="2774315"/>
                  <wp:effectExtent l="0" t="0" r="0" b="6985"/>
                  <wp:docPr id="10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1351945-B463-4FA4-9675-414D53133FB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C1351945-B463-4FA4-9675-414D53133F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4855" cy="277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417" w:rsidRDefault="003A5417" w:rsidP="001A1A3C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</w:p>
          <w:p w:rsidR="003A5417" w:rsidRDefault="003A5417" w:rsidP="001A1A3C">
            <w:pPr>
              <w:rPr>
                <w:color w:val="00000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6" w:type="dxa"/>
            <w:shd w:val="clear" w:color="auto" w:fill="auto"/>
          </w:tcPr>
          <w:p w:rsidR="001A1A3C" w:rsidRDefault="001A1A3C" w:rsidP="001A1A3C">
            <w:pPr>
              <w:jc w:val="center"/>
              <w:rPr>
                <w:sz w:val="22"/>
                <w:szCs w:val="22"/>
                <w:lang w:val="en-IN"/>
              </w:rPr>
            </w:pPr>
            <w:r>
              <w:rPr>
                <w:sz w:val="22"/>
                <w:szCs w:val="22"/>
                <w:lang w:val="en-IN"/>
              </w:rPr>
              <w:lastRenderedPageBreak/>
              <w:t>10</w:t>
            </w:r>
          </w:p>
        </w:tc>
        <w:tc>
          <w:tcPr>
            <w:tcW w:w="75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CO5</w:t>
            </w:r>
          </w:p>
        </w:tc>
        <w:tc>
          <w:tcPr>
            <w:tcW w:w="807" w:type="dxa"/>
            <w:shd w:val="clear" w:color="auto" w:fill="auto"/>
          </w:tcPr>
          <w:p w:rsidR="001A1A3C" w:rsidRDefault="001A1A3C" w:rsidP="001A1A3C">
            <w:pPr>
              <w:spacing w:before="2"/>
              <w:ind w:right="-20"/>
              <w:jc w:val="center"/>
              <w:rPr>
                <w:color w:val="808080"/>
                <w:sz w:val="22"/>
                <w:szCs w:val="22"/>
                <w:lang w:val="en-IN"/>
              </w:rPr>
            </w:pPr>
            <w:r>
              <w:rPr>
                <w:color w:val="808080"/>
                <w:sz w:val="22"/>
                <w:szCs w:val="22"/>
                <w:lang w:val="en-IN"/>
              </w:rPr>
              <w:t>L3</w:t>
            </w:r>
          </w:p>
        </w:tc>
      </w:tr>
    </w:tbl>
    <w:p w:rsidR="001256C7" w:rsidRDefault="001256C7">
      <w:pPr>
        <w:rPr>
          <w:sz w:val="20"/>
          <w:szCs w:val="20"/>
        </w:rPr>
      </w:pPr>
    </w:p>
    <w:p w:rsidR="001256C7" w:rsidRDefault="001256C7">
      <w:pPr>
        <w:rPr>
          <w:rFonts w:eastAsia="Times New Roman"/>
          <w:color w:val="000000"/>
          <w:sz w:val="20"/>
          <w:szCs w:val="20"/>
        </w:rPr>
      </w:pPr>
    </w:p>
    <w:p w:rsidR="001256C7" w:rsidRDefault="001256C7">
      <w:pPr>
        <w:rPr>
          <w:rFonts w:eastAsia="Times New Roman"/>
          <w:color w:val="000000"/>
          <w:sz w:val="20"/>
          <w:szCs w:val="20"/>
        </w:rPr>
      </w:pPr>
    </w:p>
    <w:p w:rsidR="001256C7" w:rsidRDefault="001256C7">
      <w:pPr>
        <w:rPr>
          <w:rFonts w:eastAsia="Times New Roman"/>
          <w:color w:val="000000"/>
          <w:sz w:val="20"/>
          <w:szCs w:val="20"/>
        </w:rPr>
      </w:pPr>
    </w:p>
    <w:p w:rsidR="001256C7" w:rsidRDefault="005F5367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  <w:r>
        <w:rPr>
          <w:rFonts w:eastAsia="Times New Roman"/>
          <w:b/>
          <w:bCs/>
          <w:color w:val="000000"/>
          <w:sz w:val="20"/>
          <w:szCs w:val="20"/>
          <w:lang w:val="en-IN"/>
        </w:rPr>
        <w:t xml:space="preserve">CI                                                                                      CCI </w:t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</w:r>
      <w:r>
        <w:rPr>
          <w:rFonts w:eastAsia="Times New Roman"/>
          <w:b/>
          <w:bCs/>
          <w:color w:val="000000"/>
          <w:sz w:val="20"/>
          <w:szCs w:val="20"/>
          <w:lang w:val="en-IN"/>
        </w:rPr>
        <w:tab/>
        <w:t>HOD-ISE</w:t>
      </w:r>
    </w:p>
    <w:p w:rsidR="001256C7" w:rsidRDefault="001256C7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</w:p>
    <w:p w:rsidR="001256C7" w:rsidRDefault="001256C7">
      <w:pPr>
        <w:ind w:firstLineChars="100" w:firstLine="201"/>
        <w:rPr>
          <w:rFonts w:eastAsia="Times New Roman"/>
          <w:b/>
          <w:bCs/>
          <w:color w:val="000000"/>
          <w:sz w:val="20"/>
          <w:szCs w:val="20"/>
          <w:lang w:val="en-IN"/>
        </w:rPr>
      </w:pPr>
    </w:p>
    <w:p w:rsidR="001256C7" w:rsidRDefault="001256C7">
      <w:pPr>
        <w:ind w:firstLineChars="100" w:firstLine="201"/>
        <w:jc w:val="right"/>
        <w:rPr>
          <w:rFonts w:eastAsia="Times New Roman"/>
          <w:b/>
          <w:bCs/>
          <w:color w:val="000000"/>
          <w:sz w:val="20"/>
          <w:szCs w:val="20"/>
          <w:lang w:val="en-IN"/>
        </w:rPr>
      </w:pPr>
    </w:p>
    <w:p w:rsidR="001256C7" w:rsidRDefault="001256C7">
      <w:pPr>
        <w:rPr>
          <w:rFonts w:eastAsia="Times New Roman"/>
          <w:color w:val="000000"/>
          <w:sz w:val="20"/>
          <w:szCs w:val="20"/>
        </w:rPr>
      </w:pPr>
      <w:bookmarkStart w:id="1" w:name="_heading=h.ubzkvwr4x2r" w:colFirst="0" w:colLast="0"/>
      <w:bookmarkEnd w:id="1"/>
    </w:p>
    <w:sectPr w:rsidR="001256C7">
      <w:footerReference w:type="default" r:id="rId19"/>
      <w:pgSz w:w="11900" w:h="16840"/>
      <w:pgMar w:top="360" w:right="720" w:bottom="284" w:left="720" w:header="720" w:footer="5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324" w:rsidRDefault="00E54324">
      <w:r>
        <w:separator/>
      </w:r>
    </w:p>
  </w:endnote>
  <w:endnote w:type="continuationSeparator" w:id="0">
    <w:p w:rsidR="00E54324" w:rsidRDefault="00E54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6C7" w:rsidRDefault="001256C7">
    <w:pPr>
      <w:tabs>
        <w:tab w:val="center" w:pos="4320"/>
        <w:tab w:val="right" w:pos="8640"/>
      </w:tabs>
      <w:spacing w:after="708"/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324" w:rsidRDefault="00E54324">
      <w:r>
        <w:separator/>
      </w:r>
    </w:p>
  </w:footnote>
  <w:footnote w:type="continuationSeparator" w:id="0">
    <w:p w:rsidR="00E54324" w:rsidRDefault="00E54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C969EB2"/>
    <w:multiLevelType w:val="singleLevel"/>
    <w:tmpl w:val="8C969EB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D017AFE0"/>
    <w:multiLevelType w:val="singleLevel"/>
    <w:tmpl w:val="D017AFE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50B1F76"/>
    <w:multiLevelType w:val="hybridMultilevel"/>
    <w:tmpl w:val="751E820E"/>
    <w:lvl w:ilvl="0" w:tplc="FC12F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6C3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0044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D6F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211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EAC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FE6C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E9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64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A2A556"/>
    <w:multiLevelType w:val="singleLevel"/>
    <w:tmpl w:val="13A2A556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1A8C1507"/>
    <w:multiLevelType w:val="hybridMultilevel"/>
    <w:tmpl w:val="DC4A9B42"/>
    <w:lvl w:ilvl="0" w:tplc="CB96C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9AA7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5652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207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22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27F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C4C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49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76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AAED385"/>
    <w:multiLevelType w:val="singleLevel"/>
    <w:tmpl w:val="1AAED385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21796A5C"/>
    <w:multiLevelType w:val="hybridMultilevel"/>
    <w:tmpl w:val="3FC60AD2"/>
    <w:lvl w:ilvl="0" w:tplc="62B40D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8ED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299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BC59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A92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343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E8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6A97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B6E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0803A8"/>
    <w:multiLevelType w:val="hybridMultilevel"/>
    <w:tmpl w:val="08226B64"/>
    <w:lvl w:ilvl="0" w:tplc="50961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E6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C17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1E59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675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666C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F00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F8F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6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42F3866"/>
    <w:multiLevelType w:val="hybridMultilevel"/>
    <w:tmpl w:val="9A7E6604"/>
    <w:lvl w:ilvl="0" w:tplc="2A16FD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64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602B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E8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2EF7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589B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4C2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E8F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0C5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F2F3B7F"/>
    <w:multiLevelType w:val="hybridMultilevel"/>
    <w:tmpl w:val="8F8EE326"/>
    <w:lvl w:ilvl="0" w:tplc="E3DC3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C46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946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1EB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E09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3E6C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F467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024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22A7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1436423"/>
    <w:multiLevelType w:val="hybridMultilevel"/>
    <w:tmpl w:val="B92C6D2A"/>
    <w:lvl w:ilvl="0" w:tplc="5964D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8D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A4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A0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A2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46E5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8F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C69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58E3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D184784"/>
    <w:multiLevelType w:val="hybridMultilevel"/>
    <w:tmpl w:val="A7A8793C"/>
    <w:lvl w:ilvl="0" w:tplc="6D3E42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EE6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D40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E237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06A1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721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A8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A848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62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B425334"/>
    <w:multiLevelType w:val="singleLevel"/>
    <w:tmpl w:val="6B425334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6F8F21BC"/>
    <w:multiLevelType w:val="hybridMultilevel"/>
    <w:tmpl w:val="DE46D124"/>
    <w:lvl w:ilvl="0" w:tplc="CAE08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703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182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C3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46A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0C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2C1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C5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21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3116203"/>
    <w:multiLevelType w:val="singleLevel"/>
    <w:tmpl w:val="73116203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5" w15:restartNumberingAfterBreak="0">
    <w:nsid w:val="74E11D81"/>
    <w:multiLevelType w:val="hybridMultilevel"/>
    <w:tmpl w:val="40BA98AC"/>
    <w:lvl w:ilvl="0" w:tplc="705629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08CF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863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D8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561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3A4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444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01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41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7181730"/>
    <w:multiLevelType w:val="hybridMultilevel"/>
    <w:tmpl w:val="606A4CCA"/>
    <w:lvl w:ilvl="0" w:tplc="417EFD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4235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C475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5C57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9CB2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4C0B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E09B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F0F0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20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15"/>
  </w:num>
  <w:num w:numId="9">
    <w:abstractNumId w:val="2"/>
  </w:num>
  <w:num w:numId="10">
    <w:abstractNumId w:val="8"/>
  </w:num>
  <w:num w:numId="11">
    <w:abstractNumId w:val="11"/>
  </w:num>
  <w:num w:numId="12">
    <w:abstractNumId w:val="13"/>
  </w:num>
  <w:num w:numId="13">
    <w:abstractNumId w:val="16"/>
  </w:num>
  <w:num w:numId="14">
    <w:abstractNumId w:val="6"/>
  </w:num>
  <w:num w:numId="15">
    <w:abstractNumId w:val="4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6C7"/>
    <w:rsid w:val="000D1E72"/>
    <w:rsid w:val="001256C7"/>
    <w:rsid w:val="001A1A3C"/>
    <w:rsid w:val="00295EE0"/>
    <w:rsid w:val="00296DCE"/>
    <w:rsid w:val="003A0C41"/>
    <w:rsid w:val="003A5417"/>
    <w:rsid w:val="005B1F6E"/>
    <w:rsid w:val="005B6891"/>
    <w:rsid w:val="005F5367"/>
    <w:rsid w:val="00606D9D"/>
    <w:rsid w:val="00645525"/>
    <w:rsid w:val="00674380"/>
    <w:rsid w:val="0093220B"/>
    <w:rsid w:val="00AA5DA9"/>
    <w:rsid w:val="00B1314B"/>
    <w:rsid w:val="00C4658D"/>
    <w:rsid w:val="00C50C36"/>
    <w:rsid w:val="00E54324"/>
    <w:rsid w:val="00FA2653"/>
    <w:rsid w:val="03E7444B"/>
    <w:rsid w:val="0A8C1C2D"/>
    <w:rsid w:val="11351BAC"/>
    <w:rsid w:val="1632391B"/>
    <w:rsid w:val="166B06BF"/>
    <w:rsid w:val="3A0D38CD"/>
    <w:rsid w:val="40B92102"/>
    <w:rsid w:val="499D42C4"/>
    <w:rsid w:val="5A3F7C21"/>
    <w:rsid w:val="6DFF59F4"/>
    <w:rsid w:val="7DD3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D7EF"/>
  <w15:docId w15:val="{B6E8842E-9501-4E14-BE82-8DD9C9CC0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Pr>
      <w:sz w:val="24"/>
      <w:szCs w:val="24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rFonts w:eastAsia="Times New Roman"/>
      <w:b/>
      <w:color w:val="000000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0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108" w:type="dxa"/>
        <w:right w:w="108" w:type="dxa"/>
      </w:tblCellMar>
    </w:tblPr>
  </w:style>
  <w:style w:type="table" w:customStyle="1" w:styleId="TableNormal0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rFonts w:eastAsia="Times New Roman"/>
      <w:b/>
      <w:color w:val="000000"/>
      <w:sz w:val="72"/>
      <w:szCs w:val="72"/>
    </w:rPr>
  </w:style>
  <w:style w:type="paragraph" w:customStyle="1" w:styleId="Normal1">
    <w:name w:val="Normal1"/>
    <w:qFormat/>
    <w:rPr>
      <w:sz w:val="24"/>
      <w:szCs w:val="24"/>
      <w:lang w:val="en"/>
    </w:rPr>
  </w:style>
  <w:style w:type="table" w:customStyle="1" w:styleId="Style12">
    <w:name w:val="_Style 12"/>
    <w:basedOn w:val="TableNormal0"/>
    <w:pPr>
      <w:contextualSpacing/>
    </w:pPr>
    <w:rPr>
      <w:sz w:val="22"/>
      <w:szCs w:val="22"/>
    </w:rPr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TableNormal0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TableNormal0"/>
    <w:qFormat/>
    <w:pPr>
      <w:contextualSpacing/>
    </w:pPr>
    <w:rPr>
      <w:sz w:val="22"/>
      <w:szCs w:val="22"/>
    </w:rPr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TableNormal0"/>
    <w:qFormat/>
    <w:tblPr>
      <w:tblCellMar>
        <w:left w:w="115" w:type="dxa"/>
        <w:right w:w="115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paragraph" w:styleId="NoSpacing">
    <w:name w:val="No Spacing"/>
    <w:uiPriority w:val="1"/>
    <w:qFormat/>
    <w:rPr>
      <w:rFonts w:asciiTheme="minorHAnsi" w:eastAsiaTheme="minorHAnsi" w:hAnsiTheme="minorHAnsi" w:cstheme="minorBidi"/>
      <w:sz w:val="22"/>
      <w:szCs w:val="22"/>
    </w:rPr>
  </w:style>
  <w:style w:type="table" w:customStyle="1" w:styleId="Style28">
    <w:name w:val="_Style 28"/>
    <w:basedOn w:val="TableNormal0"/>
    <w:tblPr>
      <w:tblCellMar>
        <w:left w:w="115" w:type="dxa"/>
        <w:right w:w="115" w:type="dxa"/>
      </w:tblCellMar>
    </w:tblPr>
  </w:style>
  <w:style w:type="table" w:customStyle="1" w:styleId="Style29">
    <w:name w:val="_Style 29"/>
    <w:basedOn w:val="TableNormal0"/>
    <w:tblPr>
      <w:tblCellMar>
        <w:left w:w="115" w:type="dxa"/>
        <w:right w:w="115" w:type="dxa"/>
      </w:tblCellMar>
    </w:tblPr>
  </w:style>
  <w:style w:type="table" w:customStyle="1" w:styleId="Style30">
    <w:name w:val="_Style 30"/>
    <w:basedOn w:val="TableNormal0"/>
    <w:tblPr>
      <w:tblCellMar>
        <w:left w:w="115" w:type="dxa"/>
        <w:right w:w="115" w:type="dxa"/>
      </w:tblCellMar>
    </w:tblPr>
  </w:style>
  <w:style w:type="table" w:customStyle="1" w:styleId="Style31">
    <w:name w:val="_Style 31"/>
    <w:basedOn w:val="TableNormal0"/>
    <w:tblPr>
      <w:tblCellMar>
        <w:left w:w="108" w:type="dxa"/>
        <w:right w:w="108" w:type="dxa"/>
      </w:tblCellMar>
    </w:tblPr>
  </w:style>
  <w:style w:type="table" w:customStyle="1" w:styleId="Style32">
    <w:name w:val="_Style 32"/>
    <w:basedOn w:val="TableNormal0"/>
    <w:tblPr>
      <w:tblCellMar>
        <w:left w:w="115" w:type="dxa"/>
        <w:right w:w="115" w:type="dxa"/>
      </w:tblCellMar>
    </w:tblPr>
  </w:style>
  <w:style w:type="table" w:customStyle="1" w:styleId="Style33">
    <w:name w:val="_Style 33"/>
    <w:basedOn w:val="TableNormal0"/>
    <w:tblPr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7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12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10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4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590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361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4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11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9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9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0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76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4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5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7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93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1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6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image" Target="media/image3.jp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xni2h+UTHoN4wmGjOK5SdIna+g==">CgMxLjAyDWgudWJ6a3Z3cjR4MnI4AHIhMXpIa1hNdFFFTEtaUjQzWE8xSDZaX21qTk55blBPc3Nl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2209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cmrit</dc:creator>
  <cp:lastModifiedBy>CMRIT ISE1</cp:lastModifiedBy>
  <cp:revision>11</cp:revision>
  <dcterms:created xsi:type="dcterms:W3CDTF">2026-04-29T16:53:00Z</dcterms:created>
  <dcterms:modified xsi:type="dcterms:W3CDTF">2026-05-05T04:19:00Z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1033-12.2.0.23197</vt:lpwstr>
  </property>
  <property fmtid="{D5CDD505-2E9C-101B-9397-08002B2CF9AE}" pid="3" name="ICV">
    <vt:lpwstr>BAFA2BA876504F4081FBFC333EED066C_12</vt:lpwstr>
  </property>
</Properties>
</file>